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ED90AA3A">
      <w:pPr>
        <w:spacing w:after="0"/>
        <w:ind w:left="0"/>
        <w:jc w:val="center"/>
      </w:pPr>
      <w:r>
        <w:rPr>
          <w:b w:val="0"/>
          <w:i w:val="0"/>
          <w:color w:val="000000"/>
          <w:sz w:val="22"/>
        </w:rPr>
        <w:t xml:space="preserve">
 </w:t>
      </w:r>
      <w:r>
        <w:rPr>
          <w:rFonts w:hint="eastAsia" w:ascii="黑体" w:hAnsi="黑体" w:eastAsia="黑体" w:cs="黑体"/>
          <w:b w:val="0"/>
          <w:i w:val="0"/>
          <w:color w:val="000000"/>
          <w:sz w:val="36"/>
          <w:szCs w:val="36"/>
        </w:rPr>
        <w:t xml:space="preserve">蚌埠工商学院2024年专任教师公开招聘公告
 </w:t>
      </w:r>
      <w:r>
        <w:br w:type="textWrapping"/>
      </w:r>
      <w:r>
        <w:rPr>
          <w:b w:val="0"/>
          <w:i w:val="0"/>
          <w:color w:val="000000"/>
          <w:sz w:val="22"/>
        </w:rPr>
        <w:t>
</w:t>
      </w:r>
    </w:p>
    <w:p w14:paraId="58CACED1">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为适应学校发展需要，结合学校实际情况，拟面向社会公开招聘符合岗位相关要求的优秀人才。现将有关事项公告如下：</w:t>
      </w:r>
    </w:p>
    <w:p w14:paraId="757D7B41">
      <w:pPr>
        <w:keepNext w:val="0"/>
        <w:keepLines w:val="0"/>
        <w:pageBreakBefore w:val="0"/>
        <w:widowControl/>
        <w:kinsoku/>
        <w:wordWrap/>
        <w:overflowPunct/>
        <w:topLinePunct w:val="0"/>
        <w:autoSpaceDE/>
        <w:autoSpaceDN/>
        <w:bidi w:val="0"/>
        <w:adjustRightInd/>
        <w:snapToGrid/>
        <w:spacing w:after="0"/>
        <w:ind w:left="0"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i w:val="0"/>
          <w:color w:val="000000"/>
          <w:sz w:val="30"/>
          <w:szCs w:val="30"/>
        </w:rPr>
        <w:t>一、单位简介</w:t>
      </w:r>
    </w:p>
    <w:p w14:paraId="62F89D2C">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蚌埠工商学院，是一所以经济学、管理学为主，跨文学、理学、工学、艺术学六大学科门类的本科院校。学校成立于2003年6月，前身为安徽财经大学商学院，是一所由安徽财经大学举办的全日制本科层次独立学院，2020年3月经教育部批准，正式转设为蚌埠工商学院。学校位于蚌埠市禹会区涂山风景区东侧，占地面积1000亩。已建成建筑面积26万平方米，教学科研仪器设备总值3300万元，图书馆建筑面积2.2万m&amp;sup2;，设有7个书刊借阅室以及密集书库、研讨室、报告厅等20多个服务单元，现有纸质及电子图书100余万册。现有在校生9300人，建校以来共向社会输送了近20000名毕业生。</w:t>
      </w:r>
    </w:p>
    <w:p w14:paraId="62845241">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学校设有会计学院、经济与金融学院、管理学院、财务与审计学院、国际商务学院、人文与艺术学院、计算机与数据工程学院、马克思主义学院、体育教学部等9个教学单位，拥有会计学、金融学、财务管理、工商管理、计算机科学与技术、数据科学与大数据技术、劳动关系、跨境电子商务等6个学科门类31个本科专业，形成“经管类为主导，文学、艺术学、理学、工学为延展”多学科协调发展的学科专业体系。近年来获批省级一流专业建设点4个,省级特色专业4个，省级综合改革试点专业3个。</w:t>
      </w:r>
    </w:p>
    <w:p w14:paraId="7C0B76AE">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学校加强内涵建设，多措并举提高人才培养质量，社会认可度与办学美誉度不断提升，2010年荣获“安徽省先进独立学院”称号，2015、2016年连续两年位列中国高水平独立学院前4名，其中教学科研效率、教师创新能力、毕业生质量均位列前5名。现在全国范围内选聘优秀人才。作为一所充满创新与活力的应用型高校，诚邀各类人才加盟！</w:t>
      </w:r>
    </w:p>
    <w:p w14:paraId="076875DD">
      <w:pPr>
        <w:keepNext w:val="0"/>
        <w:keepLines w:val="0"/>
        <w:pageBreakBefore w:val="0"/>
        <w:widowControl/>
        <w:kinsoku/>
        <w:wordWrap/>
        <w:overflowPunct/>
        <w:topLinePunct w:val="0"/>
        <w:autoSpaceDE/>
        <w:autoSpaceDN/>
        <w:bidi w:val="0"/>
        <w:adjustRightInd/>
        <w:snapToGrid/>
        <w:spacing w:after="0"/>
        <w:ind w:left="0"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i w:val="0"/>
          <w:color w:val="000000"/>
          <w:sz w:val="30"/>
          <w:szCs w:val="30"/>
        </w:rPr>
        <w:t>二、招聘原则</w:t>
      </w:r>
    </w:p>
    <w:p w14:paraId="23CFF877">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坚持“公开、平等、竞争、择优”的原则。</w:t>
      </w:r>
    </w:p>
    <w:p w14:paraId="13A0A1D5">
      <w:pPr>
        <w:keepNext w:val="0"/>
        <w:keepLines w:val="0"/>
        <w:pageBreakBefore w:val="0"/>
        <w:widowControl/>
        <w:kinsoku/>
        <w:wordWrap/>
        <w:overflowPunct/>
        <w:topLinePunct w:val="0"/>
        <w:autoSpaceDE/>
        <w:autoSpaceDN/>
        <w:bidi w:val="0"/>
        <w:adjustRightInd/>
        <w:snapToGrid/>
        <w:spacing w:after="0"/>
        <w:ind w:left="0"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i w:val="0"/>
          <w:color w:val="000000"/>
          <w:sz w:val="30"/>
          <w:szCs w:val="30"/>
        </w:rPr>
        <w:t>三、招聘岗位计划</w:t>
      </w:r>
    </w:p>
    <w:p w14:paraId="66C3D42E">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详见附件1《招聘岗位及要求一览表》。</w:t>
      </w:r>
    </w:p>
    <w:p w14:paraId="238DCC57">
      <w:pPr>
        <w:keepNext w:val="0"/>
        <w:keepLines w:val="0"/>
        <w:pageBreakBefore w:val="0"/>
        <w:widowControl/>
        <w:kinsoku/>
        <w:wordWrap/>
        <w:overflowPunct/>
        <w:topLinePunct w:val="0"/>
        <w:autoSpaceDE/>
        <w:autoSpaceDN/>
        <w:bidi w:val="0"/>
        <w:adjustRightInd/>
        <w:snapToGrid/>
        <w:spacing w:after="0"/>
        <w:ind w:left="0"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i w:val="0"/>
          <w:color w:val="000000"/>
          <w:sz w:val="30"/>
          <w:szCs w:val="30"/>
        </w:rPr>
        <w:t>四、招聘基本条件</w:t>
      </w:r>
    </w:p>
    <w:p w14:paraId="02F94176">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（一）拥护中国共产党的领导，坚持社会主义道路，热爱高等教育事业，遵纪守法，具有良好的思想政治素质和职业道德。</w:t>
      </w:r>
    </w:p>
    <w:p w14:paraId="4B99D3C3">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（二）年龄要求在35周岁以下（1989年2月22日(含)后出生），优秀者年龄可放宽至45周岁以下。</w:t>
      </w:r>
    </w:p>
    <w:p w14:paraId="5A9EEBD6">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（三）满足招聘岗位所要求的专业、学历及其他条件（见附件1）。</w:t>
      </w:r>
    </w:p>
    <w:p w14:paraId="7493CEB9">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（四）无违规违纪行为和不良记录，身心健康。</w:t>
      </w:r>
    </w:p>
    <w:p w14:paraId="5514C75E">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（五）2024年应届毕业生可报名。</w:t>
      </w:r>
    </w:p>
    <w:p w14:paraId="6749DC56">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曾受过刑事处罚和曾被开除公职的人员、涉嫌违纪违法正在接受有关机关审查尚未作出结论的人员、现役军人、曾受过刑事处罚或严重警告及以上处分的“退役大学生士兵”、 在读的非应届毕业生以及定向培养生、委托培养生等以及法律法规规定不得聘用的其他情形人员不得应聘。</w:t>
      </w:r>
    </w:p>
    <w:p w14:paraId="078F7FB6">
      <w:pPr>
        <w:keepNext w:val="0"/>
        <w:keepLines w:val="0"/>
        <w:pageBreakBefore w:val="0"/>
        <w:widowControl/>
        <w:kinsoku/>
        <w:wordWrap/>
        <w:overflowPunct/>
        <w:topLinePunct w:val="0"/>
        <w:autoSpaceDE/>
        <w:autoSpaceDN/>
        <w:bidi w:val="0"/>
        <w:adjustRightInd/>
        <w:snapToGrid/>
        <w:spacing w:after="0"/>
        <w:ind w:left="0"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i w:val="0"/>
          <w:color w:val="000000"/>
          <w:sz w:val="30"/>
          <w:szCs w:val="30"/>
        </w:rPr>
        <w:t>五、招聘程序及时间安排</w:t>
      </w:r>
    </w:p>
    <w:p w14:paraId="7F046E30">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（一）网上报名</w:t>
      </w:r>
    </w:p>
    <w:p w14:paraId="77ECBF50">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1.报名时间：2024年2月22日-2024年3月29日</w:t>
      </w:r>
    </w:p>
    <w:p w14:paraId="631D7461">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2.报名方式：</w:t>
      </w:r>
    </w:p>
    <w:p w14:paraId="6DC12F2D">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凡符合条件有意参加招聘者，请如实填写《蚌埠工商学院应聘人员登记表》（见附件2）、《蚌埠工商学院应聘人员汇总表》（见附件3），并将附件2、3（电子版）</w:t>
      </w:r>
      <w:r>
        <w:rPr>
          <w:rFonts w:hint="eastAsia" w:ascii="仿宋" w:hAnsi="仿宋" w:eastAsia="仿宋" w:cs="仿宋"/>
          <w:b w:val="0"/>
          <w:i w:val="0"/>
          <w:color w:val="000000"/>
          <w:sz w:val="30"/>
          <w:szCs w:val="30"/>
          <w:lang w:eastAsia="zh-CN"/>
        </w:rPr>
        <w:t>、</w:t>
      </w:r>
      <w:bookmarkStart w:id="0" w:name="_GoBack"/>
      <w:bookmarkEnd w:id="0"/>
      <w:r>
        <w:rPr>
          <w:rFonts w:hint="eastAsia" w:ascii="仿宋" w:hAnsi="仿宋" w:eastAsia="仿宋" w:cs="仿宋"/>
          <w:b w:val="0"/>
          <w:i w:val="0"/>
          <w:color w:val="333333"/>
          <w:sz w:val="30"/>
          <w:szCs w:val="30"/>
        </w:rPr>
        <w:t>个人简历（电子版）及身份证、本（专）科起毕业证学位证（应届生毕业生需提供学籍在线验证报告及就业推荐表）、</w:t>
      </w:r>
      <w:r>
        <w:rPr>
          <w:rFonts w:hint="eastAsia" w:ascii="仿宋" w:hAnsi="仿宋" w:eastAsia="仿宋" w:cs="仿宋"/>
          <w:b w:val="0"/>
          <w:i w:val="0"/>
          <w:color w:val="000000"/>
          <w:sz w:val="30"/>
          <w:szCs w:val="30"/>
        </w:rPr>
        <w:t>职称资质证书等相关证件扫描打包后于规定时间内发送至邮箱bctbzp@bctb.edu.cn（</w:t>
      </w:r>
      <w:r>
        <w:rPr>
          <w:rFonts w:hint="eastAsia" w:ascii="仿宋" w:hAnsi="仿宋" w:eastAsia="仿宋" w:cs="仿宋"/>
          <w:b/>
          <w:i w:val="0"/>
          <w:color w:val="000000"/>
          <w:sz w:val="30"/>
          <w:szCs w:val="30"/>
        </w:rPr>
        <w:t>文件包以“应聘岗位+姓名+毕业学校所学专业”命名，</w:t>
      </w:r>
      <w:r>
        <w:rPr>
          <w:rFonts w:hint="eastAsia" w:ascii="仿宋" w:hAnsi="仿宋" w:eastAsia="仿宋" w:cs="仿宋"/>
          <w:b w:val="0"/>
          <w:i w:val="0"/>
          <w:color w:val="000000"/>
          <w:sz w:val="30"/>
          <w:szCs w:val="30"/>
        </w:rPr>
        <w:t>例：会计学专任教师+张三+南京大学会计学）。</w:t>
      </w:r>
      <w:r>
        <w:rPr>
          <w:rFonts w:hint="eastAsia" w:ascii="仿宋" w:hAnsi="仿宋" w:eastAsia="仿宋" w:cs="仿宋"/>
          <w:b/>
          <w:i w:val="0"/>
          <w:color w:val="000000"/>
          <w:sz w:val="30"/>
          <w:szCs w:val="30"/>
        </w:rPr>
        <w:t>邮件主题请注明：“应聘岗位+姓名＋毕业学校所学专业”</w:t>
      </w:r>
      <w:r>
        <w:rPr>
          <w:rFonts w:hint="eastAsia" w:ascii="仿宋" w:hAnsi="仿宋" w:eastAsia="仿宋" w:cs="仿宋"/>
          <w:b w:val="0"/>
          <w:i w:val="0"/>
          <w:color w:val="000000"/>
          <w:sz w:val="30"/>
          <w:szCs w:val="30"/>
        </w:rPr>
        <w:t>。凡不按要求填写信息或发送邮件者，不予初审。</w:t>
      </w:r>
    </w:p>
    <w:p w14:paraId="0E70DFDF">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注意：报名登记表要粘贴电子照片，报考人员填写的信息必须与本人实际情况、报考条件和所报考的岗位要求相一致，并且发送相关证明材料电子版。</w:t>
      </w:r>
      <w:r>
        <w:rPr>
          <w:rFonts w:hint="eastAsia" w:ascii="仿宋" w:hAnsi="仿宋" w:eastAsia="仿宋" w:cs="仿宋"/>
          <w:b/>
          <w:i w:val="0"/>
          <w:color w:val="000000"/>
          <w:sz w:val="30"/>
          <w:szCs w:val="30"/>
        </w:rPr>
        <w:t>现场确认时核对相关证书原件，录用后核对档案，凡弄虚作假通过资格审查者，一经查实，即取消考试、聘用等资格。</w:t>
      </w:r>
    </w:p>
    <w:p w14:paraId="2BCD479D">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每位报考人员限报一个岗位，报名应聘者应保证提供资料的真实性，本校承诺对申请人信息严格保密。</w:t>
      </w:r>
    </w:p>
    <w:p w14:paraId="256DBF71">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（二）资格初审</w:t>
      </w:r>
    </w:p>
    <w:p w14:paraId="763454D2">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学校指定专人负责资格初审工作，根据应聘人员提交的信息资料进行资格审查，报名时间截止后7个工作日内在学校网站公布初审结果，未通过者不再一一通知。</w:t>
      </w:r>
    </w:p>
    <w:p w14:paraId="73C0F640">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（三）考试方式及内容</w:t>
      </w:r>
    </w:p>
    <w:p w14:paraId="2499E5D5">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学校将对通过初选人员进行现场资格确认，考试方式为笔试、试讲和面试三个环节。</w:t>
      </w:r>
      <w:r>
        <w:rPr>
          <w:rFonts w:hint="eastAsia" w:ascii="仿宋" w:hAnsi="仿宋" w:eastAsia="仿宋" w:cs="仿宋"/>
          <w:sz w:val="30"/>
          <w:szCs w:val="30"/>
        </w:rPr>
        <w:br w:type="textWrapping"/>
      </w:r>
      <w:r>
        <w:rPr>
          <w:rFonts w:hint="eastAsia" w:ascii="仿宋" w:hAnsi="仿宋" w:eastAsia="仿宋" w:cs="仿宋"/>
          <w:b w:val="0"/>
          <w:i w:val="0"/>
          <w:color w:val="000000"/>
          <w:sz w:val="30"/>
          <w:szCs w:val="30"/>
        </w:rPr>
        <w:t>笔试采取闭卷形式，笔试内容主要为应聘岗位基本专业知识等，应聘专任教师人员具有高教系列中级以上职称者可免笔试环节。</w:t>
      </w:r>
    </w:p>
    <w:p w14:paraId="470EE351">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试讲由学校指定题目，考生自备PPT及试讲教案（试讲时间约为15分钟）。主要测试应聘人员的教学能力、专业知识、业务能力和综合素养。</w:t>
      </w:r>
    </w:p>
    <w:p w14:paraId="37B99972">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面试主要测试应聘人员的理论素养、沟通能力、发展意愿以及与岗位相适应业务能力和工作技能等。采用结构化面试、情景模拟等多种方式组织。</w:t>
      </w:r>
    </w:p>
    <w:p w14:paraId="2DE10CA9">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本次招聘现场确认及后期考试等事项具体安排另行在学校官方网站通知（与资格初审名单一并发布）。</w:t>
      </w:r>
    </w:p>
    <w:p w14:paraId="7B9B4D66">
      <w:pPr>
        <w:keepNext w:val="0"/>
        <w:keepLines w:val="0"/>
        <w:pageBreakBefore w:val="0"/>
        <w:widowControl/>
        <w:kinsoku/>
        <w:wordWrap/>
        <w:overflowPunct/>
        <w:topLinePunct w:val="0"/>
        <w:autoSpaceDE/>
        <w:autoSpaceDN/>
        <w:bidi w:val="0"/>
        <w:adjustRightInd/>
        <w:snapToGrid/>
        <w:spacing w:after="0"/>
        <w:ind w:left="0"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i w:val="0"/>
          <w:color w:val="000000"/>
          <w:sz w:val="30"/>
          <w:szCs w:val="30"/>
        </w:rPr>
        <w:t>六、薪酬福利待遇</w:t>
      </w:r>
    </w:p>
    <w:p w14:paraId="724CDD07">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（一）薪酬福利：按照《蚌埠工商学院教职工薪酬制度（暂行）》执行。工资结构为基本工资+基础绩效工资+院龄津贴+年终考核绩效工资。</w:t>
      </w:r>
    </w:p>
    <w:p w14:paraId="1DF733B5">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（二）食宿交通：根据学校有关文件，可安排入住教职工周转房；工作期间享受伙食等补贴。</w:t>
      </w:r>
    </w:p>
    <w:p w14:paraId="3361EBA3">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（三）其他：五险一金，交通补贴，节假日津贴。</w:t>
      </w:r>
    </w:p>
    <w:p w14:paraId="07002600">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（四）学校拥有高等学校教师职称自主评审权，入职后满足条件可考取高校教师资格证、评定高校系列职称；博士研究生享受副高职称待遇及博士津贴,入职满一年可直接认定讲师。</w:t>
      </w:r>
    </w:p>
    <w:p w14:paraId="1242EFC2">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（五）提供免费岗前培训、高校教师资格考试培训。</w:t>
      </w:r>
    </w:p>
    <w:p w14:paraId="3AF1E46B">
      <w:pPr>
        <w:keepNext w:val="0"/>
        <w:keepLines w:val="0"/>
        <w:pageBreakBefore w:val="0"/>
        <w:widowControl/>
        <w:kinsoku/>
        <w:wordWrap/>
        <w:overflowPunct/>
        <w:topLinePunct w:val="0"/>
        <w:autoSpaceDE/>
        <w:autoSpaceDN/>
        <w:bidi w:val="0"/>
        <w:adjustRightInd/>
        <w:snapToGrid/>
        <w:spacing w:after="0"/>
        <w:ind w:left="0"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i w:val="0"/>
          <w:color w:val="000000"/>
          <w:sz w:val="30"/>
          <w:szCs w:val="30"/>
        </w:rPr>
        <w:t>七、其他事项</w:t>
      </w:r>
    </w:p>
    <w:p w14:paraId="55232F49">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一）通过学校考试合格者进入体检环节，由学校统一组织应聘人员到指定医院进行体检，体检费用由应聘者承担。体检工作参照《关于进一步规范全省事业单位公开招聘人员体检工作的通知》(皖人社秘〔2013〕208号)执行。体检合格的应聘人员确定为考察对象，学校组成考察组对其进行考察。</w:t>
      </w:r>
    </w:p>
    <w:p w14:paraId="23B292CA">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（二）对体检、考察合格者，经研究后确定为拟聘人选，签订聘用手续，聘期三年，试用期为6个月。</w:t>
      </w:r>
    </w:p>
    <w:p w14:paraId="569818EB">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三）拟聘人员需在入职前取得相应学历学位证书或海外学历教育部认证、与原单位解除工作关系的证明材料（在职人员提供），且在入职后两个月内将档案转至学校（部队自主择业军转干部除外），逾期未提供以上材料、未转档案者，取消其录用资格。2024年应届毕业生需提供就业协议书。</w:t>
      </w:r>
    </w:p>
    <w:p w14:paraId="05C29FC5">
      <w:pPr>
        <w:keepNext w:val="0"/>
        <w:keepLines w:val="0"/>
        <w:pageBreakBefore w:val="0"/>
        <w:widowControl/>
        <w:kinsoku/>
        <w:wordWrap/>
        <w:overflowPunct/>
        <w:topLinePunct w:val="0"/>
        <w:autoSpaceDE/>
        <w:autoSpaceDN/>
        <w:bidi w:val="0"/>
        <w:adjustRightInd/>
        <w:snapToGrid/>
        <w:spacing w:after="0"/>
        <w:ind w:left="0" w:firstLine="602" w:firstLineChars="200"/>
        <w:jc w:val="left"/>
        <w:textAlignment w:val="auto"/>
        <w:rPr>
          <w:rFonts w:hint="eastAsia" w:ascii="仿宋" w:hAnsi="仿宋" w:eastAsia="仿宋" w:cs="仿宋"/>
          <w:sz w:val="30"/>
          <w:szCs w:val="30"/>
        </w:rPr>
      </w:pPr>
      <w:r>
        <w:rPr>
          <w:rFonts w:hint="eastAsia" w:ascii="仿宋" w:hAnsi="仿宋" w:eastAsia="仿宋" w:cs="仿宋"/>
          <w:b/>
          <w:bCs/>
          <w:i w:val="0"/>
          <w:color w:val="000000"/>
          <w:sz w:val="30"/>
          <w:szCs w:val="30"/>
        </w:rPr>
        <w:t>八、联系人及联系方式</w:t>
      </w:r>
      <w:r>
        <w:rPr>
          <w:rFonts w:hint="eastAsia" w:ascii="仿宋" w:hAnsi="仿宋" w:eastAsia="仿宋" w:cs="仿宋"/>
          <w:b w:val="0"/>
          <w:i w:val="0"/>
          <w:color w:val="000000"/>
          <w:sz w:val="30"/>
          <w:szCs w:val="30"/>
        </w:rPr>
        <w:t xml:space="preserve"> </w:t>
      </w:r>
    </w:p>
    <w:p w14:paraId="14DFA34E">
      <w:pPr>
        <w:keepNext w:val="0"/>
        <w:keepLines w:val="0"/>
        <w:pageBreakBefore w:val="0"/>
        <w:widowControl/>
        <w:kinsoku/>
        <w:wordWrap/>
        <w:overflowPunct/>
        <w:topLinePunct w:val="0"/>
        <w:autoSpaceDE/>
        <w:autoSpaceDN/>
        <w:bidi w:val="0"/>
        <w:adjustRightInd/>
        <w:snapToGrid/>
        <w:spacing w:after="0"/>
        <w:ind w:left="0" w:firstLine="600" w:firstLineChars="200"/>
        <w:jc w:val="left"/>
        <w:textAlignment w:val="auto"/>
        <w:rPr>
          <w:rFonts w:hint="eastAsia" w:ascii="仿宋" w:hAnsi="仿宋" w:eastAsia="仿宋" w:cs="仿宋"/>
          <w:sz w:val="30"/>
          <w:szCs w:val="30"/>
        </w:rPr>
      </w:pPr>
      <w:r>
        <w:rPr>
          <w:rFonts w:hint="eastAsia" w:ascii="仿宋" w:hAnsi="仿宋" w:eastAsia="仿宋" w:cs="仿宋"/>
          <w:b w:val="0"/>
          <w:i w:val="0"/>
          <w:color w:val="000000"/>
          <w:sz w:val="30"/>
          <w:szCs w:val="30"/>
        </w:rPr>
        <w:t>联系人：丁老师、方老师 联系电话：0552-2566707</w:t>
      </w:r>
      <w:r>
        <w:rPr>
          <w:rFonts w:hint="eastAsia" w:ascii="仿宋" w:hAnsi="仿宋" w:eastAsia="仿宋" w:cs="仿宋"/>
          <w:sz w:val="30"/>
          <w:szCs w:val="30"/>
        </w:rPr>
        <w:br w:type="textWrapping"/>
      </w:r>
    </w:p>
    <w:p w14:paraId="75752FD5">
      <w:pPr>
        <w:spacing w:after="0"/>
        <w:ind w:left="0"/>
        <w:jc w:val="right"/>
        <w:rPr>
          <w:rFonts w:hint="eastAsia" w:ascii="仿宋" w:hAnsi="仿宋" w:eastAsia="仿宋" w:cs="仿宋"/>
          <w:sz w:val="30"/>
          <w:szCs w:val="30"/>
        </w:rPr>
      </w:pPr>
      <w:r>
        <w:rPr>
          <w:rFonts w:hint="eastAsia" w:ascii="仿宋" w:hAnsi="仿宋" w:eastAsia="仿宋" w:cs="仿宋"/>
          <w:sz w:val="30"/>
          <w:szCs w:val="30"/>
        </w:rPr>
        <w:br w:type="textWrapping"/>
      </w:r>
    </w:p>
    <w:p w14:paraId="3AE9C857">
      <w:pPr>
        <w:spacing w:after="0"/>
        <w:ind w:left="0"/>
        <w:jc w:val="right"/>
        <w:rPr>
          <w:rFonts w:hint="eastAsia" w:ascii="仿宋" w:hAnsi="仿宋" w:eastAsia="仿宋" w:cs="仿宋"/>
          <w:sz w:val="30"/>
          <w:szCs w:val="30"/>
        </w:rPr>
      </w:pPr>
      <w:r>
        <w:rPr>
          <w:rFonts w:hint="eastAsia" w:ascii="仿宋" w:hAnsi="仿宋" w:eastAsia="仿宋" w:cs="仿宋"/>
          <w:b w:val="0"/>
          <w:i w:val="0"/>
          <w:color w:val="000000"/>
          <w:sz w:val="30"/>
          <w:szCs w:val="30"/>
        </w:rPr>
        <w:t>蚌埠工商学院人力资源部</w:t>
      </w:r>
    </w:p>
    <w:p w14:paraId="79F16FDC">
      <w:pPr>
        <w:spacing w:after="0"/>
        <w:ind w:left="0"/>
        <w:jc w:val="right"/>
      </w:pPr>
      <w:r>
        <w:rPr>
          <w:rFonts w:hint="eastAsia" w:ascii="仿宋" w:hAnsi="仿宋" w:eastAsia="仿宋" w:cs="仿宋"/>
          <w:b w:val="0"/>
          <w:i w:val="0"/>
          <w:color w:val="000000"/>
          <w:sz w:val="30"/>
          <w:szCs w:val="30"/>
        </w:rPr>
        <w:t>2024年2月22日</w:t>
      </w:r>
      <w:r>
        <w:rPr>
          <w:rFonts w:hint="eastAsia" w:ascii="仿宋" w:hAnsi="仿宋" w:eastAsia="仿宋" w:cs="仿宋"/>
          <w:b w:val="0"/>
          <w:i w:val="0"/>
          <w:color w:val="000000"/>
          <w:sz w:val="32"/>
          <w:szCs w:val="32"/>
        </w:rPr>
        <w:t xml:space="preserve"> </w:t>
      </w:r>
      <w:r>
        <w:rPr>
          <w:rFonts w:hint="eastAsia" w:ascii="仿宋" w:hAnsi="仿宋" w:eastAsia="仿宋" w:cs="仿宋"/>
          <w:sz w:val="32"/>
          <w:szCs w:val="32"/>
        </w:rPr>
        <w:br w:type="textWrapping"/>
      </w: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useFELayout/>
    <w:splitPgBreakAndParaMark/>
    <w:compatSetting w:name="compatibilityMode" w:uri="http://schemas.microsoft.com/office/word" w:val="12"/>
  </w:compat>
  <w:docVars>
    <w:docVar w:name="commondata" w:val="eyJoZGlkIjoiZmM5YTBkMzExNThjODFlYTVmY2FlMDY0ZDdkYzliNjMifQ=="/>
  </w:docVars>
  <w:rsids>
    <w:rsidRoot w:val="00000000"/>
    <w:rsid w:val="002A0A62"/>
    <w:rsid w:val="198A5493"/>
    <w:rsid w:val="1D794741"/>
    <w:rsid w:val="49297D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7"/>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8"/>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19"/>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header"/>
    <w:basedOn w:val="1"/>
    <w:link w:val="15"/>
    <w:unhideWhenUsed/>
    <w:qFormat/>
    <w:uiPriority w:val="99"/>
    <w:pPr>
      <w:tabs>
        <w:tab w:val="center" w:pos="4680"/>
        <w:tab w:val="right" w:pos="9360"/>
      </w:tabs>
    </w:pPr>
  </w:style>
  <w:style w:type="paragraph" w:styleId="8">
    <w:name w:val="Subtitle"/>
    <w:basedOn w:val="1"/>
    <w:next w:val="1"/>
    <w:link w:val="20"/>
    <w:qFormat/>
    <w:uiPriority w:val="11"/>
    <w:pPr>
      <w:ind w:left="86"/>
    </w:pPr>
    <w:rPr>
      <w:rFonts w:asciiTheme="majorHAnsi" w:hAnsiTheme="majorHAnsi" w:eastAsiaTheme="majorEastAsia" w:cstheme="majorBidi"/>
      <w:i/>
      <w:iCs/>
      <w:color w:val="4F81BD" w:themeColor="accent1"/>
      <w:spacing w:val="15"/>
      <w:sz w:val="24"/>
      <w:szCs w:val="24"/>
    </w:rPr>
  </w:style>
  <w:style w:type="paragraph" w:styleId="9">
    <w:name w:val="Title"/>
    <w:basedOn w:val="1"/>
    <w:next w:val="1"/>
    <w:link w:val="21"/>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table" w:styleId="11">
    <w:name w:val="Table Grid"/>
    <w:basedOn w:val="10"/>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Emphasis"/>
    <w:basedOn w:val="12"/>
    <w:qFormat/>
    <w:uiPriority w:val="20"/>
    <w:rPr>
      <w:i/>
      <w:iCs/>
    </w:rPr>
  </w:style>
  <w:style w:type="character" w:styleId="14">
    <w:name w:val="Hyperlink"/>
    <w:basedOn w:val="12"/>
    <w:unhideWhenUsed/>
    <w:qFormat/>
    <w:uiPriority w:val="99"/>
    <w:rPr>
      <w:color w:val="0000FF" w:themeColor="hyperlink"/>
      <w:u w:val="single"/>
    </w:rPr>
  </w:style>
  <w:style w:type="character" w:customStyle="1" w:styleId="15">
    <w:name w:val="Header Char"/>
    <w:basedOn w:val="12"/>
    <w:link w:val="7"/>
    <w:qFormat/>
    <w:uiPriority w:val="99"/>
  </w:style>
  <w:style w:type="character" w:customStyle="1" w:styleId="16">
    <w:name w:val="Heading 1 Char"/>
    <w:basedOn w:val="12"/>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7">
    <w:name w:val="Heading 2 Char"/>
    <w:basedOn w:val="12"/>
    <w:link w:val="3"/>
    <w:qFormat/>
    <w:uiPriority w:val="9"/>
    <w:rPr>
      <w:rFonts w:asciiTheme="majorHAnsi" w:hAnsiTheme="majorHAnsi" w:eastAsiaTheme="majorEastAsia" w:cstheme="majorBidi"/>
      <w:b/>
      <w:bCs/>
      <w:color w:val="4F81BD" w:themeColor="accent1"/>
      <w:sz w:val="26"/>
      <w:szCs w:val="26"/>
    </w:rPr>
  </w:style>
  <w:style w:type="character" w:customStyle="1" w:styleId="18">
    <w:name w:val="Heading 3 Char"/>
    <w:basedOn w:val="12"/>
    <w:link w:val="4"/>
    <w:qFormat/>
    <w:uiPriority w:val="9"/>
    <w:rPr>
      <w:rFonts w:asciiTheme="majorHAnsi" w:hAnsiTheme="majorHAnsi" w:eastAsiaTheme="majorEastAsia" w:cstheme="majorBidi"/>
      <w:b/>
      <w:bCs/>
      <w:color w:val="4F81BD" w:themeColor="accent1"/>
    </w:rPr>
  </w:style>
  <w:style w:type="character" w:customStyle="1" w:styleId="19">
    <w:name w:val="Heading 4 Char"/>
    <w:basedOn w:val="12"/>
    <w:link w:val="5"/>
    <w:qFormat/>
    <w:uiPriority w:val="9"/>
    <w:rPr>
      <w:rFonts w:asciiTheme="majorHAnsi" w:hAnsiTheme="majorHAnsi" w:eastAsiaTheme="majorEastAsia" w:cstheme="majorBidi"/>
      <w:b/>
      <w:bCs/>
      <w:i/>
      <w:iCs/>
      <w:color w:val="4F81BD" w:themeColor="accent1"/>
    </w:rPr>
  </w:style>
  <w:style w:type="character" w:customStyle="1" w:styleId="20">
    <w:name w:val="Subtitle Char"/>
    <w:basedOn w:val="12"/>
    <w:link w:val="8"/>
    <w:qFormat/>
    <w:uiPriority w:val="11"/>
    <w:rPr>
      <w:rFonts w:asciiTheme="majorHAnsi" w:hAnsiTheme="majorHAnsi" w:eastAsiaTheme="majorEastAsia" w:cstheme="majorBidi"/>
      <w:i/>
      <w:iCs/>
      <w:color w:val="4F81BD" w:themeColor="accent1"/>
      <w:spacing w:val="15"/>
      <w:sz w:val="24"/>
      <w:szCs w:val="24"/>
    </w:rPr>
  </w:style>
  <w:style w:type="character" w:customStyle="1" w:styleId="21">
    <w:name w:val="Title Char"/>
    <w:basedOn w:val="12"/>
    <w:link w:val="9"/>
    <w:qFormat/>
    <w:uiPriority w:val="10"/>
    <w:rPr>
      <w:rFonts w:asciiTheme="majorHAnsi" w:hAnsiTheme="majorHAnsi" w:eastAsiaTheme="majorEastAsia" w:cstheme="majorBidi"/>
      <w:color w:val="17365D" w:themeColor="text2" w:themeShade="BF"/>
      <w:spacing w:val="5"/>
      <w:kern w:val="28"/>
      <w:sz w:val="52"/>
      <w:szCs w:val="52"/>
    </w:rPr>
  </w:style>
  <w:style w:type="paragraph" w:customStyle="1" w:styleId="22">
    <w:name w:val="DocDefaults"/>
    <w:qFormat/>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2448</Words>
  <Characters>2555</Characters>
  <TotalTime>12</TotalTime>
  <ScaleCrop>false</ScaleCrop>
  <LinksUpToDate>false</LinksUpToDate>
  <CharactersWithSpaces>2573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2024-10-24T07:49:00Z</dcterms:created>
  <dc:creator>02</dc:creator>
  <cp:lastModifiedBy>淡定的松树</cp:lastModifiedBy>
  <dcterms:modified xsi:type="dcterms:W3CDTF">2024-10-25T01:41:29Z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E9962C7D1751448FA158FAA619338BAF_12</vt:lpwstr>
  </property>
</Properties>
</file>